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2AD30A" w14:textId="266F9DBA" w:rsidR="00FC1619" w:rsidRPr="009C14A2" w:rsidRDefault="009C14A2" w:rsidP="00FC1619">
      <w:pPr>
        <w:pStyle w:val="Bloktekst"/>
        <w:ind w:right="20"/>
        <w:jc w:val="center"/>
        <w:rPr>
          <w:rFonts w:ascii="Times New Roman" w:eastAsia="AEGLKK+TimesNewRoman"/>
          <w:b/>
          <w:bCs/>
          <w:i/>
          <w:color w:val="C00000"/>
          <w:sz w:val="28"/>
          <w:szCs w:val="30"/>
        </w:rPr>
      </w:pPr>
      <w:r>
        <w:rPr>
          <w:rFonts w:ascii="Times New Roman" w:eastAsia="AEGLKK+TimesNewRoman"/>
          <w:b/>
          <w:bCs/>
          <w:i/>
          <w:color w:val="C00000"/>
          <w:sz w:val="28"/>
          <w:szCs w:val="30"/>
        </w:rPr>
        <w:t xml:space="preserve">Poster </w:t>
      </w:r>
      <w:r w:rsidR="00FC1619" w:rsidRPr="009C14A2">
        <w:rPr>
          <w:rFonts w:ascii="Times New Roman" w:eastAsia="AEGLKK+TimesNewRoman"/>
          <w:b/>
          <w:bCs/>
          <w:i/>
          <w:color w:val="C00000"/>
          <w:sz w:val="28"/>
          <w:szCs w:val="30"/>
        </w:rPr>
        <w:t>Ab</w:t>
      </w:r>
      <w:r w:rsidR="00DC3902">
        <w:rPr>
          <w:rFonts w:ascii="Times New Roman" w:eastAsia="AEGLKK+TimesNewRoman"/>
          <w:b/>
          <w:bCs/>
          <w:i/>
          <w:color w:val="C00000"/>
          <w:sz w:val="28"/>
          <w:szCs w:val="30"/>
        </w:rPr>
        <w:t>stract Template for NANO-SA-2026</w:t>
      </w:r>
      <w:bookmarkStart w:id="0" w:name="_GoBack"/>
      <w:bookmarkEnd w:id="0"/>
    </w:p>
    <w:p w14:paraId="52EEF9E1" w14:textId="77777777" w:rsidR="00FC1619" w:rsidRDefault="00FC1619" w:rsidP="00FC1619">
      <w:pPr>
        <w:pStyle w:val="Bloktekst"/>
        <w:ind w:right="20"/>
        <w:jc w:val="center"/>
        <w:rPr>
          <w:rFonts w:ascii="Times New Roman" w:eastAsia="AEGLKK+TimesNewRoman"/>
          <w:b/>
          <w:sz w:val="28"/>
          <w:szCs w:val="30"/>
        </w:rPr>
      </w:pPr>
    </w:p>
    <w:p w14:paraId="3D7856F5" w14:textId="789575A6" w:rsidR="007E5504" w:rsidRPr="00BA215D" w:rsidRDefault="00FC1619" w:rsidP="00BA215D">
      <w:pPr>
        <w:pStyle w:val="Plattetekst3"/>
        <w:spacing w:line="360" w:lineRule="auto"/>
        <w:ind w:right="20"/>
        <w:jc w:val="center"/>
        <w:rPr>
          <w:rFonts w:ascii="Times New Roman" w:eastAsia="AEGLKK+TimesNewRoman"/>
          <w:b/>
          <w:sz w:val="26"/>
          <w:szCs w:val="26"/>
        </w:rPr>
      </w:pPr>
      <w:r w:rsidRPr="007E5504">
        <w:rPr>
          <w:rFonts w:ascii="Times New Roman" w:eastAsia="AEGLKK+TimesNewRoman"/>
          <w:b/>
          <w:sz w:val="26"/>
          <w:szCs w:val="26"/>
        </w:rPr>
        <w:t>“</w:t>
      </w:r>
      <w:r w:rsidR="007E5504" w:rsidRPr="007E5504">
        <w:rPr>
          <w:rFonts w:ascii="Times New Roman" w:eastAsia="AEGLKK+TimesNewRoman"/>
          <w:b/>
          <w:sz w:val="26"/>
          <w:szCs w:val="26"/>
        </w:rPr>
        <w:t>Intermetallic Copper-Based Electrode Catalyst with High Activity for C–H Oxidation and Cycloaddition of CO</w:t>
      </w:r>
      <w:r w:rsidR="007E5504" w:rsidRPr="007E5504">
        <w:rPr>
          <w:rFonts w:ascii="Times New Roman" w:eastAsia="AEGLKK+TimesNewRoman"/>
          <w:b/>
          <w:sz w:val="26"/>
          <w:szCs w:val="26"/>
          <w:vertAlign w:val="subscript"/>
        </w:rPr>
        <w:t>2</w:t>
      </w:r>
      <w:r w:rsidR="007E5504" w:rsidRPr="007E5504">
        <w:rPr>
          <w:rFonts w:ascii="Times New Roman" w:eastAsia="AEGLKK+TimesNewRoman"/>
          <w:b/>
          <w:sz w:val="26"/>
          <w:szCs w:val="26"/>
        </w:rPr>
        <w:t xml:space="preserve"> into Epoxides</w:t>
      </w:r>
      <w:r w:rsidR="00CE2474" w:rsidRPr="007E5504">
        <w:rPr>
          <w:rFonts w:ascii="Times New Roman" w:eastAsia="AEGLKK+TimesNewRoman"/>
          <w:b/>
          <w:sz w:val="26"/>
          <w:szCs w:val="26"/>
        </w:rPr>
        <w:t>”</w:t>
      </w:r>
    </w:p>
    <w:p w14:paraId="3DF3ECE4" w14:textId="44718B5B" w:rsidR="00AD41B1" w:rsidRDefault="00C81E32" w:rsidP="00BA215D">
      <w:pPr>
        <w:pStyle w:val="Standaard"/>
        <w:spacing w:line="360" w:lineRule="auto"/>
        <w:ind w:right="20"/>
        <w:jc w:val="center"/>
        <w:rPr>
          <w:rFonts w:ascii="Times New Roman"/>
        </w:rPr>
      </w:pPr>
      <w:r w:rsidRPr="007E5504">
        <w:rPr>
          <w:rFonts w:ascii="Times New Roman"/>
          <w:u w:val="single"/>
        </w:rPr>
        <w:t>Ravishankar G. Kadam</w:t>
      </w:r>
      <w:r w:rsidRPr="007A5C7C">
        <w:rPr>
          <w:rFonts w:ascii="Times New Roman"/>
        </w:rPr>
        <w:t>,</w:t>
      </w:r>
      <w:r w:rsidR="008912A1">
        <w:rPr>
          <w:rFonts w:ascii="Times New Roman"/>
        </w:rPr>
        <w:t xml:space="preserve"> (other authors, if any) </w:t>
      </w:r>
      <w:r w:rsidRPr="007A5C7C">
        <w:rPr>
          <w:rFonts w:ascii="Times New Roman"/>
        </w:rPr>
        <w:t xml:space="preserve"> </w:t>
      </w:r>
      <w:r w:rsidR="007E5504">
        <w:rPr>
          <w:rFonts w:ascii="Times New Roman"/>
        </w:rPr>
        <w:t xml:space="preserve">and </w:t>
      </w:r>
      <w:r w:rsidRPr="007A5C7C">
        <w:rPr>
          <w:rFonts w:ascii="Times New Roman"/>
        </w:rPr>
        <w:t>Manoj B.</w:t>
      </w:r>
      <w:r w:rsidR="00AD41B1" w:rsidRPr="007A5C7C">
        <w:rPr>
          <w:rFonts w:ascii="Times New Roman"/>
        </w:rPr>
        <w:t xml:space="preserve"> </w:t>
      </w:r>
      <w:r w:rsidRPr="007A5C7C">
        <w:rPr>
          <w:rFonts w:ascii="Times New Roman"/>
        </w:rPr>
        <w:t>Gawande</w:t>
      </w:r>
      <w:r w:rsidR="00AD41B1" w:rsidRPr="007A5C7C">
        <w:rPr>
          <w:rFonts w:ascii="Times New Roman"/>
        </w:rPr>
        <w:t>*</w:t>
      </w:r>
    </w:p>
    <w:p w14:paraId="52FC0197" w14:textId="77777777" w:rsidR="008912A1" w:rsidRPr="008912A1" w:rsidRDefault="008912A1" w:rsidP="008912A1">
      <w:pPr>
        <w:pStyle w:val="Default"/>
      </w:pPr>
    </w:p>
    <w:p w14:paraId="451B7F05" w14:textId="77777777" w:rsidR="007A5C7C" w:rsidRDefault="007A5C7C" w:rsidP="00BA215D">
      <w:pPr>
        <w:pStyle w:val="Standaard"/>
        <w:spacing w:line="276" w:lineRule="auto"/>
        <w:ind w:right="20"/>
        <w:jc w:val="center"/>
        <w:rPr>
          <w:rFonts w:ascii="Times New Roman"/>
          <w:sz w:val="22"/>
        </w:rPr>
      </w:pPr>
      <w:r w:rsidRPr="007A5C7C">
        <w:rPr>
          <w:rFonts w:ascii="Times New Roman"/>
          <w:sz w:val="22"/>
        </w:rPr>
        <w:t>Institute of Chemical Technology, Mumbai Marathwada Campus, Jalna 431213 Maharashtra, India</w:t>
      </w:r>
    </w:p>
    <w:p w14:paraId="5AFA5803" w14:textId="34DF60E8" w:rsidR="00FC1619" w:rsidRPr="00BA215D" w:rsidRDefault="00FC1619" w:rsidP="00BA215D">
      <w:pPr>
        <w:pStyle w:val="Standaard"/>
        <w:spacing w:line="276" w:lineRule="auto"/>
        <w:ind w:right="20"/>
        <w:jc w:val="center"/>
        <w:rPr>
          <w:rFonts w:ascii="Times New Roman" w:eastAsia="AEGLKK+TimesNewRoman"/>
          <w:sz w:val="22"/>
        </w:rPr>
      </w:pPr>
      <w:r w:rsidRPr="007A5C7C">
        <w:rPr>
          <w:rFonts w:ascii="Times New Roman" w:eastAsia="AEGLKK+TimesNewRoman"/>
          <w:sz w:val="22"/>
        </w:rPr>
        <w:t xml:space="preserve">E-mail: </w:t>
      </w:r>
      <w:r w:rsidR="00394DF9" w:rsidRPr="00394DF9">
        <w:rPr>
          <w:rFonts w:ascii="Times New Roman" w:eastAsia="AEGLKK+TimesNewRoman"/>
          <w:sz w:val="22"/>
        </w:rPr>
        <w:t>ravishankargkadam@gmail.com</w:t>
      </w:r>
      <w:r w:rsidR="00394DF9">
        <w:rPr>
          <w:rFonts w:ascii="Times New Roman" w:eastAsia="AEGLKK+TimesNewRoman"/>
          <w:sz w:val="22"/>
        </w:rPr>
        <w:t>;</w:t>
      </w:r>
      <w:r w:rsidR="00B953B5">
        <w:rPr>
          <w:rFonts w:ascii="Times New Roman" w:eastAsia="AEGLKK+TimesNewRoman"/>
          <w:sz w:val="22"/>
        </w:rPr>
        <w:t xml:space="preserve"> *Corresponding author: </w:t>
      </w:r>
      <w:r w:rsidR="00B953B5" w:rsidRPr="007A5C7C">
        <w:rPr>
          <w:rFonts w:ascii="Times New Roman" w:eastAsia="AEGLKK+TimesNewRoman"/>
          <w:sz w:val="22"/>
        </w:rPr>
        <w:t>mb.gawande@marj.ictmumbai.edu.in</w:t>
      </w:r>
      <w:r w:rsidR="00B953B5">
        <w:rPr>
          <w:rFonts w:ascii="Times New Roman" w:eastAsia="AEGLKK+TimesNewRoman"/>
          <w:sz w:val="22"/>
        </w:rPr>
        <w:t xml:space="preserve"> </w:t>
      </w:r>
    </w:p>
    <w:p w14:paraId="510F4142" w14:textId="77777777" w:rsidR="00FC1619" w:rsidRPr="009C14A2" w:rsidRDefault="00FC1619" w:rsidP="00BA215D">
      <w:pPr>
        <w:pStyle w:val="Default"/>
        <w:spacing w:line="276" w:lineRule="auto"/>
        <w:ind w:left="2880" w:firstLine="720"/>
        <w:rPr>
          <w:rFonts w:ascii="Times New Roman" w:eastAsia="AEGLKK+TimesNewRoman" w:cs="Times New Roman"/>
          <w:i/>
          <w:color w:val="FF0000"/>
          <w:sz w:val="22"/>
          <w:szCs w:val="22"/>
        </w:rPr>
      </w:pPr>
      <w:r w:rsidRPr="009C14A2">
        <w:rPr>
          <w:rFonts w:ascii="Times New Roman" w:eastAsia="AEGLKK+TimesNewRoman" w:cs="Times New Roman"/>
          <w:i/>
          <w:color w:val="FF0000"/>
          <w:sz w:val="22"/>
          <w:szCs w:val="22"/>
        </w:rPr>
        <w:t>(Underline presenting author)</w:t>
      </w:r>
    </w:p>
    <w:p w14:paraId="51475678" w14:textId="77777777" w:rsidR="00FC1619" w:rsidRPr="00C81E32" w:rsidRDefault="00FC1619" w:rsidP="00FC1619">
      <w:pPr>
        <w:pStyle w:val="Default"/>
        <w:rPr>
          <w:highlight w:val="darkBlue"/>
        </w:rPr>
      </w:pPr>
    </w:p>
    <w:p w14:paraId="38CD1D19" w14:textId="7489560E" w:rsidR="00FC1619" w:rsidRPr="000B781F" w:rsidRDefault="00FC1619" w:rsidP="00FC1619">
      <w:pPr>
        <w:pStyle w:val="Bloktekst"/>
        <w:ind w:right="135"/>
        <w:jc w:val="both"/>
        <w:rPr>
          <w:rFonts w:ascii="Times New Roman" w:eastAsia="AEGLKK+TimesNewRoman"/>
          <w:i/>
          <w:color w:val="FF0000"/>
        </w:rPr>
      </w:pPr>
      <w:r w:rsidRPr="00906656">
        <w:rPr>
          <w:rFonts w:ascii="Times New Roman" w:eastAsia="AEGLKK+TimesNewRoman"/>
          <w:b/>
        </w:rPr>
        <w:t>Abstract</w:t>
      </w:r>
      <w:r w:rsidR="00CD68E7">
        <w:rPr>
          <w:rFonts w:ascii="Times New Roman" w:eastAsia="AEGLKK+TimesNewRoman"/>
          <w:b/>
        </w:rPr>
        <w:t xml:space="preserve">: </w:t>
      </w:r>
      <w:r w:rsidRPr="000B781F">
        <w:rPr>
          <w:rFonts w:ascii="Times New Roman" w:eastAsia="AEGLKK+TimesNewRoman"/>
          <w:i/>
          <w:color w:val="FF0000"/>
        </w:rPr>
        <w:t>(times new roman, font size 12, word limit 200, and spacing 1.</w:t>
      </w:r>
      <w:r w:rsidR="00CD68E7" w:rsidRPr="000B781F">
        <w:rPr>
          <w:rFonts w:ascii="Times New Roman" w:eastAsia="AEGLKK+TimesNewRoman"/>
          <w:i/>
          <w:color w:val="FF0000"/>
        </w:rPr>
        <w:t>5</w:t>
      </w:r>
      <w:r w:rsidRPr="000B781F">
        <w:rPr>
          <w:rFonts w:ascii="Times New Roman" w:eastAsia="AEGLKK+TimesNewRoman"/>
          <w:i/>
          <w:color w:val="FF0000"/>
        </w:rPr>
        <w:t>)</w:t>
      </w:r>
    </w:p>
    <w:p w14:paraId="01D0E7DA" w14:textId="4444B81D" w:rsidR="006A6321" w:rsidRPr="006A6321" w:rsidRDefault="007772AD" w:rsidP="00B91B19">
      <w:pPr>
        <w:spacing w:before="120" w:line="360" w:lineRule="auto"/>
        <w:jc w:val="both"/>
      </w:pPr>
      <w:r w:rsidRPr="007772AD">
        <w:t>It has been proved that inorganic electrides are suitable hosts for integrating transition metals, which can serve as active sites and exhibit remarkable catalytic performance.</w:t>
      </w:r>
      <w:r>
        <w:t xml:space="preserve"> In this work </w:t>
      </w:r>
      <w:r w:rsidR="00B91B19" w:rsidRPr="00B91B19">
        <w:t>a reusable and recyclable (for more than 7 times) copper-based intermetallic electride catalyst (</w:t>
      </w:r>
      <w:r w:rsidR="00A32D61" w:rsidRPr="00B91B19">
        <w:t>LaCu</w:t>
      </w:r>
      <w:r w:rsidR="00A32D61" w:rsidRPr="00A32D61">
        <w:rPr>
          <w:vertAlign w:val="subscript"/>
        </w:rPr>
        <w:t>0.67</w:t>
      </w:r>
      <w:r w:rsidR="00A32D61" w:rsidRPr="00B91B19">
        <w:t>Si</w:t>
      </w:r>
      <w:r w:rsidR="00A32D61" w:rsidRPr="00A32D61">
        <w:rPr>
          <w:vertAlign w:val="subscript"/>
        </w:rPr>
        <w:t>1.33</w:t>
      </w:r>
      <w:r w:rsidR="00B91B19" w:rsidRPr="00B91B19">
        <w:t>)</w:t>
      </w:r>
      <w:r>
        <w:t xml:space="preserve"> fabricated</w:t>
      </w:r>
      <w:r w:rsidR="00B91B19" w:rsidRPr="00B91B19">
        <w:t>, in which the Cu sites activated by anionic electrons with low-work function are uniformly dispersed in the lattice framework, shows vast potential for the selective C–H oxidation of industrially important hydrocarbons and cycloaddition of CO</w:t>
      </w:r>
      <w:r w:rsidR="00B91B19" w:rsidRPr="0018156C">
        <w:rPr>
          <w:vertAlign w:val="subscript"/>
        </w:rPr>
        <w:t>2</w:t>
      </w:r>
      <w:r w:rsidR="00B91B19" w:rsidRPr="00B91B19">
        <w:t xml:space="preserve"> with epoxide. This leads to the production of value-added cyclic carbonates under mild reaction conditions. Importantly, the LaCu</w:t>
      </w:r>
      <w:r w:rsidR="00B91B19" w:rsidRPr="00A32D61">
        <w:rPr>
          <w:vertAlign w:val="subscript"/>
        </w:rPr>
        <w:t>0.67</w:t>
      </w:r>
      <w:r w:rsidR="00B91B19" w:rsidRPr="00B91B19">
        <w:t>Si</w:t>
      </w:r>
      <w:r w:rsidR="00B91B19" w:rsidRPr="00A32D61">
        <w:rPr>
          <w:vertAlign w:val="subscript"/>
        </w:rPr>
        <w:t>1.33</w:t>
      </w:r>
      <w:r w:rsidR="00B91B19" w:rsidRPr="00B91B19">
        <w:t xml:space="preserve"> catalyst enables much higher turnover frequencies for the C–H oxidation (up to 25 276 h</w:t>
      </w:r>
      <w:r w:rsidR="00B91B19" w:rsidRPr="0018156C">
        <w:rPr>
          <w:vertAlign w:val="superscript"/>
        </w:rPr>
        <w:t>–1</w:t>
      </w:r>
      <w:r w:rsidR="00B91B19" w:rsidRPr="00B91B19">
        <w:t>) and cycloaddition of CO</w:t>
      </w:r>
      <w:r w:rsidR="00B91B19" w:rsidRPr="0018156C">
        <w:rPr>
          <w:vertAlign w:val="subscript"/>
        </w:rPr>
        <w:t>2</w:t>
      </w:r>
      <w:r w:rsidR="00B91B19" w:rsidRPr="00B91B19">
        <w:t xml:space="preserve"> into epoxide (up to 800 000 h</w:t>
      </w:r>
      <w:r w:rsidR="00B91B19" w:rsidRPr="0018156C">
        <w:rPr>
          <w:vertAlign w:val="superscript"/>
        </w:rPr>
        <w:t>–1</w:t>
      </w:r>
      <w:r w:rsidR="00B91B19" w:rsidRPr="00B91B19">
        <w:t xml:space="preserve">), thus exceeding most nonnoble as well as noble metal catalysts. Density functional theory investigations have revealed that the </w:t>
      </w:r>
      <w:r w:rsidR="00054007" w:rsidRPr="00B91B19">
        <w:t>LaCu</w:t>
      </w:r>
      <w:r w:rsidR="00054007" w:rsidRPr="00A32D61">
        <w:rPr>
          <w:vertAlign w:val="subscript"/>
        </w:rPr>
        <w:t>0.67</w:t>
      </w:r>
      <w:r w:rsidR="00054007" w:rsidRPr="00B91B19">
        <w:t>Si</w:t>
      </w:r>
      <w:r w:rsidR="00054007" w:rsidRPr="00A32D61">
        <w:rPr>
          <w:vertAlign w:val="subscript"/>
        </w:rPr>
        <w:t>1.33</w:t>
      </w:r>
      <w:r w:rsidR="00054007">
        <w:rPr>
          <w:vertAlign w:val="subscript"/>
        </w:rPr>
        <w:t xml:space="preserve"> </w:t>
      </w:r>
      <w:r w:rsidR="00B91B19" w:rsidRPr="00B91B19">
        <w:t>catalyst is involved in the conversion of N-hydroxyphthalimide (NHPI) into the phthalimido-N-oxyl (PINO), which then triggers selective abstraction of an H atom from ethylbenzene for the generation of a radical susceptible to further oxygenation in the presence of O</w:t>
      </w:r>
      <w:r w:rsidR="00B91B19" w:rsidRPr="0018156C">
        <w:rPr>
          <w:vertAlign w:val="subscript"/>
        </w:rPr>
        <w:t>2</w:t>
      </w:r>
      <w:r w:rsidR="00B91B19" w:rsidRPr="00B91B19">
        <w:t>.</w:t>
      </w:r>
      <w:r w:rsidR="00FE48DE">
        <w:fldChar w:fldCharType="begin"/>
      </w:r>
      <w:r w:rsidR="00FE48DE">
        <w:instrText xml:space="preserve"> ADDIN EN.CITE &lt;EndNote&gt;&lt;Cite&gt;&lt;Author&gt;Kadam&lt;/Author&gt;&lt;Year&gt;2022&lt;/Year&gt;&lt;RecNum&gt;311&lt;/RecNum&gt;&lt;DisplayText&gt;&lt;style face="superscript"&gt;1&lt;/style&gt;&lt;/DisplayText&gt;&lt;record&gt;&lt;rec-number&gt;311&lt;/rec-number&gt;&lt;foreign-keys&gt;&lt;key app="EN" db-id="fdp5saf5yptxr4e0206xs0rm0rx5p2zav25t" timestamp="1661772084"&gt;311&lt;/key&gt;&lt;/foreign-keys&gt;&lt;ref-type name="Journal Article"&gt;17&lt;/ref-type&gt;&lt;contributors&gt;&lt;authors&gt;&lt;author&gt;Kadam, Ravishankar G.&lt;/author&gt;&lt;author&gt;Ye, Tian-Nan&lt;/author&gt;&lt;author&gt;Zaoralová, Dagmar&lt;/author&gt;&lt;author&gt;Medveď, Miroslav&lt;/author&gt;&lt;author&gt;Sharma, Priti&lt;/author&gt;&lt;author&gt;Lu, Yangfan&lt;/author&gt;&lt;author&gt;Zoppellaro, Giorgio&lt;/author&gt;&lt;author&gt;Tomanec, Ondřej&lt;/author&gt;&lt;author&gt;Otyepka, Michal&lt;/author&gt;&lt;author&gt;Zbořil, Radek&lt;/author&gt;&lt;author&gt;Hosono, Hideo&lt;/author&gt;&lt;author&gt;Gawande, Manoj B.&lt;/author&gt;&lt;/authors&gt;&lt;/contributors&gt;&lt;titles&gt;&lt;title&gt;Intermetallic Copper-Based Electride Catalyst with High Activity for C–H Oxidation and Cycloaddition of CO2 into Epoxides&lt;/title&gt;&lt;secondary-title&gt;Small&lt;/secondary-title&gt;&lt;/titles&gt;&lt;periodical&gt;&lt;full-title&gt;Small&lt;/full-title&gt;&lt;/periodical&gt;&lt;pages&gt;2201712&lt;/pages&gt;&lt;volume&gt;n/a&lt;/volume&gt;&lt;number&gt;n/a&lt;/number&gt;&lt;keywords&gt;&lt;keyword&gt;heterogeneous catalysis&lt;/keyword&gt;&lt;keyword&gt;copper-based intermetallic electride catalysts&lt;/keyword&gt;&lt;keyword&gt;selective benzylic C–H oxidation&lt;/keyword&gt;&lt;keyword&gt;carbon dioxide fixation&lt;/keyword&gt;&lt;keyword&gt;cyclic carbonates&lt;/keyword&gt;&lt;keyword&gt;rare-earth elements&lt;/keyword&gt;&lt;/keywords&gt;&lt;dates&gt;&lt;year&gt;2022&lt;/year&gt;&lt;pub-dates&gt;&lt;date&gt;2022/08/26&lt;/date&gt;&lt;/pub-dates&gt;&lt;/dates&gt;&lt;publisher&gt;John Wiley &amp;amp; Sons, Ltd&lt;/publisher&gt;&lt;isbn&gt;1613-6810&lt;/isbn&gt;&lt;work-type&gt;https://doi.org/10.1002/smll.202201712&lt;/work-type&gt;&lt;urls&gt;&lt;related-urls&gt;&lt;url&gt;https://doi.org/10.1002/smll.202201712&lt;/url&gt;&lt;/related-urls&gt;&lt;/urls&gt;&lt;electronic-resource-num&gt;https://doi.org/10.1002/smll.202201712&lt;/electronic-resource-num&gt;&lt;access-date&gt;2022/08/29&lt;/access-date&gt;&lt;/record&gt;&lt;/Cite&gt;&lt;/EndNote&gt;</w:instrText>
      </w:r>
      <w:r w:rsidR="00FE48DE">
        <w:fldChar w:fldCharType="separate"/>
      </w:r>
      <w:r w:rsidR="00FE48DE" w:rsidRPr="00FE48DE">
        <w:rPr>
          <w:noProof/>
          <w:vertAlign w:val="superscript"/>
        </w:rPr>
        <w:t>1</w:t>
      </w:r>
      <w:r w:rsidR="00FE48DE">
        <w:fldChar w:fldCharType="end"/>
      </w:r>
    </w:p>
    <w:p w14:paraId="17A40D84" w14:textId="77777777" w:rsidR="000B781F" w:rsidRPr="000B781F" w:rsidRDefault="006A6321" w:rsidP="00B91B19">
      <w:pPr>
        <w:spacing w:before="120" w:line="360" w:lineRule="auto"/>
        <w:jc w:val="both"/>
        <w:rPr>
          <w:i/>
          <w:iCs/>
          <w:color w:val="FF0000"/>
        </w:rPr>
      </w:pPr>
      <w:r w:rsidRPr="006A6321">
        <w:rPr>
          <w:b/>
          <w:bCs/>
        </w:rPr>
        <w:t>Keywords:</w:t>
      </w:r>
      <w:r>
        <w:t xml:space="preserve"> </w:t>
      </w:r>
      <w:r w:rsidR="000B781F" w:rsidRPr="000B781F">
        <w:rPr>
          <w:i/>
          <w:iCs/>
          <w:color w:val="FF0000"/>
        </w:rPr>
        <w:t>(</w:t>
      </w:r>
      <w:r w:rsidRPr="000B781F">
        <w:rPr>
          <w:i/>
          <w:iCs/>
          <w:color w:val="FF0000"/>
        </w:rPr>
        <w:t>Please provide 5 key words in alphabetical order separated with semicolons</w:t>
      </w:r>
      <w:r w:rsidR="00161332" w:rsidRPr="000B781F">
        <w:rPr>
          <w:i/>
          <w:iCs/>
          <w:color w:val="FF0000"/>
        </w:rPr>
        <w:t xml:space="preserve">) </w:t>
      </w:r>
    </w:p>
    <w:p w14:paraId="38E0C93E" w14:textId="563057C5" w:rsidR="006A6321" w:rsidRPr="00522739" w:rsidRDefault="00161332" w:rsidP="00B91B19">
      <w:pPr>
        <w:spacing w:before="120" w:line="360" w:lineRule="auto"/>
        <w:jc w:val="both"/>
      </w:pPr>
      <w:r>
        <w:t>C-H activation, Electride catalyst, Copper, Carbon dioxide, Cyclic carbonate</w:t>
      </w:r>
    </w:p>
    <w:p w14:paraId="44360B1B" w14:textId="77777777" w:rsidR="000B781F" w:rsidRDefault="000B781F" w:rsidP="00FC1619">
      <w:pPr>
        <w:spacing w:before="120"/>
        <w:jc w:val="both"/>
        <w:rPr>
          <w:b/>
          <w:sz w:val="20"/>
          <w:szCs w:val="20"/>
        </w:rPr>
      </w:pPr>
    </w:p>
    <w:p w14:paraId="0B4EBEEE" w14:textId="2E0532E4" w:rsidR="00FC1619" w:rsidRPr="000B781F" w:rsidRDefault="00FC1619" w:rsidP="00FC1619">
      <w:pPr>
        <w:spacing w:before="120"/>
        <w:jc w:val="both"/>
      </w:pPr>
      <w:r w:rsidRPr="000B781F">
        <w:rPr>
          <w:b/>
        </w:rPr>
        <w:t>References</w:t>
      </w:r>
      <w:r w:rsidR="0063338C">
        <w:rPr>
          <w:b/>
        </w:rPr>
        <w:t>:</w:t>
      </w:r>
      <w:r w:rsidRPr="000B781F">
        <w:t xml:space="preserve"> </w:t>
      </w:r>
      <w:r w:rsidRPr="000B781F">
        <w:rPr>
          <w:i/>
          <w:color w:val="FF0000"/>
        </w:rPr>
        <w:t xml:space="preserve">(maximum 5, </w:t>
      </w:r>
      <w:r w:rsidRPr="000B781F">
        <w:rPr>
          <w:rFonts w:eastAsia="AEGLKK+TimesNewRoman"/>
          <w:i/>
          <w:color w:val="FF0000"/>
        </w:rPr>
        <w:t>times new roman, font size 10, and spacing 1.15</w:t>
      </w:r>
      <w:r w:rsidRPr="000B781F">
        <w:rPr>
          <w:i/>
          <w:color w:val="FF0000"/>
        </w:rPr>
        <w:t>)</w:t>
      </w:r>
    </w:p>
    <w:p w14:paraId="3C1E96FC" w14:textId="77777777" w:rsidR="00FC1619" w:rsidRPr="00881A83" w:rsidRDefault="00FC1619" w:rsidP="00FC1619">
      <w:pPr>
        <w:widowControl/>
        <w:tabs>
          <w:tab w:val="left" w:pos="270"/>
          <w:tab w:val="left" w:pos="360"/>
          <w:tab w:val="left" w:pos="450"/>
        </w:tabs>
        <w:jc w:val="both"/>
        <w:rPr>
          <w:color w:val="FF0000"/>
          <w:sz w:val="20"/>
          <w:szCs w:val="20"/>
        </w:rPr>
      </w:pPr>
    </w:p>
    <w:p w14:paraId="30BF02CA" w14:textId="6D9A0BF6" w:rsidR="00FE48DE" w:rsidRPr="000B781F" w:rsidRDefault="00FE48DE" w:rsidP="000B781F">
      <w:pPr>
        <w:pStyle w:val="EndNoteBibliography"/>
        <w:spacing w:line="276" w:lineRule="auto"/>
        <w:rPr>
          <w:sz w:val="20"/>
          <w:szCs w:val="20"/>
        </w:rPr>
      </w:pPr>
      <w:r w:rsidRPr="000B781F">
        <w:rPr>
          <w:sz w:val="20"/>
          <w:szCs w:val="20"/>
        </w:rPr>
        <w:fldChar w:fldCharType="begin"/>
      </w:r>
      <w:r w:rsidRPr="000B781F">
        <w:rPr>
          <w:sz w:val="20"/>
          <w:szCs w:val="20"/>
        </w:rPr>
        <w:instrText xml:space="preserve"> ADDIN EN.REFLIST </w:instrText>
      </w:r>
      <w:r w:rsidRPr="000B781F">
        <w:rPr>
          <w:sz w:val="20"/>
          <w:szCs w:val="20"/>
        </w:rPr>
        <w:fldChar w:fldCharType="separate"/>
      </w:r>
      <w:r w:rsidRPr="000B781F">
        <w:rPr>
          <w:sz w:val="20"/>
          <w:szCs w:val="20"/>
        </w:rPr>
        <w:t>1.</w:t>
      </w:r>
      <w:r w:rsidRPr="000B781F">
        <w:rPr>
          <w:sz w:val="20"/>
          <w:szCs w:val="20"/>
        </w:rPr>
        <w:tab/>
        <w:t>Kadam, R. G.;  Ye, T.</w:t>
      </w:r>
      <w:r w:rsidR="00D5479E" w:rsidRPr="000B781F">
        <w:rPr>
          <w:sz w:val="20"/>
          <w:szCs w:val="20"/>
        </w:rPr>
        <w:t xml:space="preserve"> </w:t>
      </w:r>
      <w:r w:rsidRPr="000B781F">
        <w:rPr>
          <w:sz w:val="20"/>
          <w:szCs w:val="20"/>
        </w:rPr>
        <w:t>N.;  Zaoralová, D.;  Medveď, M.;  Sharma, P.;  Lu, Y.;  Zoppellaro, G.;  Tomanec, O.;  Otyepka, M.;  Zbořil, R.;  Hosono, H.; Gawande, M. B., Intermetallic Copper-Based Electride Catalyst with High Activity for C–H Oxidation and Cycloaddition of CO</w:t>
      </w:r>
      <w:r w:rsidRPr="000B781F">
        <w:rPr>
          <w:sz w:val="20"/>
          <w:szCs w:val="20"/>
          <w:vertAlign w:val="subscript"/>
        </w:rPr>
        <w:t>2</w:t>
      </w:r>
      <w:r w:rsidRPr="000B781F">
        <w:rPr>
          <w:sz w:val="20"/>
          <w:szCs w:val="20"/>
        </w:rPr>
        <w:t xml:space="preserve"> into Epoxides. </w:t>
      </w:r>
      <w:r w:rsidRPr="000B781F">
        <w:rPr>
          <w:i/>
          <w:sz w:val="20"/>
          <w:szCs w:val="20"/>
        </w:rPr>
        <w:t xml:space="preserve">Small </w:t>
      </w:r>
      <w:r w:rsidRPr="000B781F">
        <w:rPr>
          <w:b/>
          <w:sz w:val="20"/>
          <w:szCs w:val="20"/>
        </w:rPr>
        <w:t>2022,</w:t>
      </w:r>
      <w:r w:rsidRPr="000B781F">
        <w:rPr>
          <w:sz w:val="20"/>
          <w:szCs w:val="20"/>
        </w:rPr>
        <w:t xml:space="preserve"> 2201712.</w:t>
      </w:r>
    </w:p>
    <w:p w14:paraId="50CF8EC7" w14:textId="1A4F57EB" w:rsidR="00583069" w:rsidRDefault="00FE48DE" w:rsidP="000B781F">
      <w:pPr>
        <w:spacing w:line="276" w:lineRule="auto"/>
      </w:pPr>
      <w:r w:rsidRPr="000B781F">
        <w:rPr>
          <w:sz w:val="20"/>
          <w:szCs w:val="20"/>
        </w:rPr>
        <w:fldChar w:fldCharType="end"/>
      </w:r>
    </w:p>
    <w:p w14:paraId="3D5341F1" w14:textId="261850D9" w:rsidR="00FE48DE" w:rsidRPr="00597AC0" w:rsidRDefault="00FE48DE" w:rsidP="00FE48DE">
      <w:pPr>
        <w:widowControl/>
        <w:tabs>
          <w:tab w:val="left" w:pos="270"/>
          <w:tab w:val="left" w:pos="360"/>
          <w:tab w:val="left" w:pos="450"/>
        </w:tabs>
        <w:jc w:val="both"/>
        <w:rPr>
          <w:i/>
          <w:color w:val="FF0000"/>
        </w:rPr>
      </w:pPr>
      <w:r w:rsidRPr="00597AC0">
        <w:rPr>
          <w:i/>
          <w:color w:val="FF0000"/>
        </w:rPr>
        <w:t>(Page size A4, margins-1.2</w:t>
      </w:r>
      <w:r w:rsidR="0063338C" w:rsidRPr="00597AC0">
        <w:rPr>
          <w:i/>
          <w:color w:val="FF0000"/>
        </w:rPr>
        <w:t xml:space="preserve"> </w:t>
      </w:r>
      <w:r w:rsidRPr="00597AC0">
        <w:rPr>
          <w:i/>
          <w:color w:val="FF0000"/>
        </w:rPr>
        <w:t>cm on all sides</w:t>
      </w:r>
      <w:r w:rsidR="00597AC0" w:rsidRPr="00597AC0">
        <w:rPr>
          <w:i/>
          <w:color w:val="FF0000"/>
        </w:rPr>
        <w:t>,</w:t>
      </w:r>
      <w:r w:rsidR="00597AC0" w:rsidRPr="00597AC0">
        <w:rPr>
          <w:sz w:val="32"/>
          <w:szCs w:val="32"/>
        </w:rPr>
        <w:t xml:space="preserve"> </w:t>
      </w:r>
      <w:r w:rsidR="00597AC0" w:rsidRPr="00597AC0">
        <w:rPr>
          <w:i/>
          <w:color w:val="FF0000"/>
        </w:rPr>
        <w:t>please use your name as a file name.</w:t>
      </w:r>
      <w:r w:rsidRPr="00597AC0">
        <w:rPr>
          <w:i/>
          <w:color w:val="FF0000"/>
        </w:rPr>
        <w:t>)</w:t>
      </w:r>
    </w:p>
    <w:p w14:paraId="70EC8911" w14:textId="77777777" w:rsidR="00FE48DE" w:rsidRDefault="00FE48DE"/>
    <w:sectPr w:rsidR="00FE48DE" w:rsidSect="00FC1619">
      <w:pgSz w:w="11900" w:h="16840" w:code="9"/>
      <w:pgMar w:top="1008" w:right="1008" w:bottom="1008" w:left="1008" w:header="720" w:footer="720" w:gutter="0"/>
      <w:cols w:space="567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EGLNE+TimesNewRoman,Bold">
    <w:altName w:val="Malgun Gothic Semilight"/>
    <w:panose1 w:val="00000000000000000000"/>
    <w:charset w:val="88"/>
    <w:family w:val="roman"/>
    <w:notTrueType/>
    <w:pitch w:val="default"/>
    <w:sig w:usb0="00000000" w:usb1="08080000" w:usb2="00000010" w:usb3="00000000" w:csb0="00100000" w:csb1="00000000"/>
  </w:font>
  <w:font w:name="AEGLKK+TimesNewRoman">
    <w:altName w:val="Malgun Gothic Semilight"/>
    <w:panose1 w:val="00000000000000000000"/>
    <w:charset w:val="88"/>
    <w:family w:val="roman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3C5D44"/>
    <w:multiLevelType w:val="hybridMultilevel"/>
    <w:tmpl w:val="2196DE64"/>
    <w:lvl w:ilvl="0" w:tplc="4F54D5A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MyNjMxNzQxMbI0NTZT0lEKTi0uzszPAykwrgUAVco5ry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CS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dp5saf5yptxr4e0206xs0rm0rx5p2zav25t&quot;&gt;Coal to fuel catalysis project&lt;record-ids&gt;&lt;item&gt;311&lt;/item&gt;&lt;/record-ids&gt;&lt;/item&gt;&lt;/Libraries&gt;"/>
  </w:docVars>
  <w:rsids>
    <w:rsidRoot w:val="00A4723B"/>
    <w:rsid w:val="00054007"/>
    <w:rsid w:val="000B781F"/>
    <w:rsid w:val="00161332"/>
    <w:rsid w:val="0018156C"/>
    <w:rsid w:val="002432B2"/>
    <w:rsid w:val="00394DF9"/>
    <w:rsid w:val="004A5058"/>
    <w:rsid w:val="004F4283"/>
    <w:rsid w:val="00522739"/>
    <w:rsid w:val="00527354"/>
    <w:rsid w:val="00583069"/>
    <w:rsid w:val="00597AC0"/>
    <w:rsid w:val="00620604"/>
    <w:rsid w:val="006256C9"/>
    <w:rsid w:val="0063338C"/>
    <w:rsid w:val="006A6321"/>
    <w:rsid w:val="007772AD"/>
    <w:rsid w:val="007A5C7C"/>
    <w:rsid w:val="007E5504"/>
    <w:rsid w:val="00881A83"/>
    <w:rsid w:val="008822A2"/>
    <w:rsid w:val="008912A1"/>
    <w:rsid w:val="00902057"/>
    <w:rsid w:val="00906656"/>
    <w:rsid w:val="00973097"/>
    <w:rsid w:val="009C14A2"/>
    <w:rsid w:val="00A32D61"/>
    <w:rsid w:val="00A4723B"/>
    <w:rsid w:val="00AD41B1"/>
    <w:rsid w:val="00B91B19"/>
    <w:rsid w:val="00B953B5"/>
    <w:rsid w:val="00BA215D"/>
    <w:rsid w:val="00C81E32"/>
    <w:rsid w:val="00CD68E7"/>
    <w:rsid w:val="00CE2474"/>
    <w:rsid w:val="00D5479E"/>
    <w:rsid w:val="00DC3902"/>
    <w:rsid w:val="00FC1619"/>
    <w:rsid w:val="00FE4578"/>
    <w:rsid w:val="00FE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204C0"/>
  <w15:chartTrackingRefBased/>
  <w15:docId w15:val="{9DC19768-D6EB-4495-8E8A-0944A4C79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619"/>
    <w:pPr>
      <w:widowControl w:val="0"/>
      <w:spacing w:after="0" w:line="240" w:lineRule="auto"/>
    </w:pPr>
    <w:rPr>
      <w:rFonts w:ascii="Times New Roman" w:eastAsia="PMingLiU" w:hAnsi="Times New Roman" w:cs="Times New Roman"/>
      <w:kern w:val="2"/>
      <w:sz w:val="24"/>
      <w:szCs w:val="24"/>
      <w:lang w:val="en-US"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C1619"/>
    <w:pPr>
      <w:widowControl w:val="0"/>
      <w:autoSpaceDE w:val="0"/>
      <w:autoSpaceDN w:val="0"/>
      <w:adjustRightInd w:val="0"/>
      <w:spacing w:after="0" w:line="240" w:lineRule="auto"/>
    </w:pPr>
    <w:rPr>
      <w:rFonts w:ascii="AEGLNE+TimesNewRoman,Bold" w:eastAsia="AEGLNE+TimesNewRoman,Bold" w:hAnsi="Times New Roman" w:cs="AEGLNE+TimesNewRoman,Bold"/>
      <w:color w:val="000000"/>
      <w:sz w:val="24"/>
      <w:szCs w:val="24"/>
      <w:lang w:val="en-US" w:eastAsia="zh-TW"/>
    </w:rPr>
  </w:style>
  <w:style w:type="paragraph" w:customStyle="1" w:styleId="Standaard">
    <w:name w:val="Standaard"/>
    <w:basedOn w:val="Default"/>
    <w:next w:val="Default"/>
    <w:rsid w:val="00FC1619"/>
    <w:rPr>
      <w:rFonts w:cs="Times New Roman"/>
      <w:color w:val="auto"/>
    </w:rPr>
  </w:style>
  <w:style w:type="paragraph" w:customStyle="1" w:styleId="Plattetekst3">
    <w:name w:val="Platte tekst 3"/>
    <w:basedOn w:val="Default"/>
    <w:next w:val="Default"/>
    <w:rsid w:val="00FC1619"/>
    <w:rPr>
      <w:rFonts w:cs="Times New Roman"/>
      <w:color w:val="auto"/>
    </w:rPr>
  </w:style>
  <w:style w:type="paragraph" w:customStyle="1" w:styleId="Bloktekst">
    <w:name w:val="Bloktekst"/>
    <w:basedOn w:val="Default"/>
    <w:next w:val="Default"/>
    <w:rsid w:val="00FC1619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FC16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53B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953B5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FE48DE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E48DE"/>
    <w:rPr>
      <w:rFonts w:ascii="Times New Roman" w:eastAsia="PMingLiU" w:hAnsi="Times New Roman" w:cs="Times New Roman"/>
      <w:noProof/>
      <w:kern w:val="2"/>
      <w:sz w:val="24"/>
      <w:szCs w:val="24"/>
      <w:lang w:val="en-US" w:eastAsia="zh-TW"/>
    </w:rPr>
  </w:style>
  <w:style w:type="paragraph" w:customStyle="1" w:styleId="EndNoteBibliography">
    <w:name w:val="EndNote Bibliography"/>
    <w:basedOn w:val="Normal"/>
    <w:link w:val="EndNoteBibliographyChar"/>
    <w:rsid w:val="00FE48DE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FE48DE"/>
    <w:rPr>
      <w:rFonts w:ascii="Times New Roman" w:eastAsia="PMingLiU" w:hAnsi="Times New Roman" w:cs="Times New Roman"/>
      <w:noProof/>
      <w:kern w:val="2"/>
      <w:sz w:val="24"/>
      <w:szCs w:val="24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Hanumant B. Kale</dc:creator>
  <cp:keywords/>
  <dc:description/>
  <cp:lastModifiedBy>hp</cp:lastModifiedBy>
  <cp:revision>4</cp:revision>
  <dcterms:created xsi:type="dcterms:W3CDTF">2022-09-02T13:58:00Z</dcterms:created>
  <dcterms:modified xsi:type="dcterms:W3CDTF">2025-11-06T08:09:00Z</dcterms:modified>
</cp:coreProperties>
</file>